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94" w:rsidRPr="00D52EC1" w:rsidRDefault="00A73694" w:rsidP="00A73694">
      <w:pPr>
        <w:spacing w:line="276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D52EC1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RELACION </w:t>
      </w:r>
    </w:p>
    <w:p w:rsidR="00A73694" w:rsidRPr="00241098" w:rsidRDefault="00241098" w:rsidP="002410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D52EC1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</w:t>
      </w:r>
      <w:r w:rsidR="00A73694" w:rsidRPr="00D52EC1">
        <w:rPr>
          <w:rFonts w:ascii="Times New Roman" w:hAnsi="Times New Roman" w:cs="Times New Roman"/>
          <w:b/>
          <w:sz w:val="24"/>
          <w:szCs w:val="24"/>
          <w:lang w:val="sq-AL"/>
        </w:rPr>
        <w:t>PROJEKTLIGJIN</w:t>
      </w:r>
      <w:r w:rsidR="00A73694" w:rsidRPr="00B10A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“</w:t>
      </w:r>
      <w:r w:rsidR="00A73694" w:rsidRPr="00B10AE8">
        <w:rPr>
          <w:rFonts w:ascii="Times New Roman" w:hAnsi="Times New Roman" w:cs="Times New Roman"/>
          <w:b/>
          <w:i/>
          <w:sz w:val="24"/>
          <w:szCs w:val="24"/>
          <w:lang w:val="sq-AL"/>
        </w:rPr>
        <w:t>PËR DISA SHTESA DHE NDRYSHIME NË LIGJIN NR. 157/2013 “PËR MASAT KUNDËR FINANCIMIT TË TERRORIZMIT</w:t>
      </w:r>
      <w:r w:rsidR="00A73694" w:rsidRPr="00B10AE8">
        <w:rPr>
          <w:rFonts w:ascii="Times New Roman" w:hAnsi="Times New Roman" w:cs="Times New Roman"/>
          <w:b/>
          <w:sz w:val="24"/>
          <w:szCs w:val="24"/>
          <w:lang w:val="sq-AL"/>
        </w:rPr>
        <w:t>”</w:t>
      </w:r>
    </w:p>
    <w:p w:rsidR="00A73694" w:rsidRPr="00B10AE8" w:rsidRDefault="00A73694" w:rsidP="00A7369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b/>
          <w:sz w:val="24"/>
          <w:szCs w:val="24"/>
          <w:lang w:val="sq-AL"/>
        </w:rPr>
        <w:t>QËLLIMI I PROJEKTLIGJIT DHE OBJEKTIVAT QË SYNOHEN TË ARRIHEN</w:t>
      </w:r>
    </w:p>
    <w:p w:rsidR="00A73694" w:rsidRPr="00B10AE8" w:rsidRDefault="00A73694" w:rsidP="00A7369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Qëllimi i këtij projektligji është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347E5" w:rsidRPr="00B10AE8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parandalimi dhe goditja e veprimtarive të terroristëve dhe e atyre që </w:t>
      </w:r>
      <w:r w:rsidR="009347E5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mbështesin dhe financojnë terrorizmin, apo të atyre, për të cilët ka dyshime të bazuara që kanë kryer, po </w:t>
      </w:r>
      <w:r w:rsidR="009347E5" w:rsidRPr="00B10AE8">
        <w:rPr>
          <w:rFonts w:ascii="Times New Roman" w:hAnsi="Times New Roman" w:cs="Times New Roman"/>
          <w:spacing w:val="-1"/>
          <w:sz w:val="24"/>
          <w:szCs w:val="24"/>
          <w:lang w:val="sq-AL"/>
        </w:rPr>
        <w:t xml:space="preserve">kryejnë ose kanë qëllim të kryejnë veprimtari të tilla, nëpërmjet bllokimit, sekuestrimit të fondeve e pasurive të tyre, në zbatim të rezolutave përkatëse të Këshillit të Sigurimit të Kombeve të Bashkuara, 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>akteve të organizatave të tjera ndërkombëtare apo marrëveshjeve ndërkombëtare, ku Republika e Shqipërisë është palë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>. Në funksion të këtij qëllimi të përgjithshëm synohet:</w:t>
      </w:r>
    </w:p>
    <w:p w:rsidR="00A73694" w:rsidRPr="00B10AE8" w:rsidRDefault="00A73694" w:rsidP="00A736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Zvogëlimi i rreziqeve të financimit të terrorizmit nëpërmjet politikave, koordinimit dhe bashkëpunimit;</w:t>
      </w:r>
    </w:p>
    <w:p w:rsidR="00A73694" w:rsidRPr="00B10AE8" w:rsidRDefault="00A73694" w:rsidP="00A736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Parandalimi i hyrjes së fondeve në mbështetje të terrorizmit në sektorin financiar apo në </w:t>
      </w:r>
      <w:r w:rsidRPr="00107EA4">
        <w:rPr>
          <w:rFonts w:ascii="Times New Roman" w:hAnsi="Times New Roman" w:cs="Times New Roman"/>
          <w:sz w:val="24"/>
          <w:szCs w:val="24"/>
          <w:lang w:val="sq-AL"/>
        </w:rPr>
        <w:t xml:space="preserve">sektorë </w:t>
      </w:r>
      <w:r w:rsidR="000A53C7" w:rsidRPr="00107EA4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Pr="00107EA4">
        <w:rPr>
          <w:rFonts w:ascii="Times New Roman" w:hAnsi="Times New Roman" w:cs="Times New Roman"/>
          <w:sz w:val="24"/>
          <w:szCs w:val="24"/>
          <w:lang w:val="sq-AL"/>
        </w:rPr>
        <w:t>tjerë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ose zbulimi dhe raportimi i tyre;</w:t>
      </w:r>
    </w:p>
    <w:p w:rsidR="00A73694" w:rsidRDefault="00A73694" w:rsidP="00A736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Zbulimi dhe goditja e </w:t>
      </w:r>
      <w:r w:rsidR="00B10AE8">
        <w:rPr>
          <w:rFonts w:ascii="Times New Roman" w:hAnsi="Times New Roman" w:cs="Times New Roman"/>
          <w:sz w:val="24"/>
          <w:szCs w:val="24"/>
          <w:lang w:val="sq-AL"/>
        </w:rPr>
        <w:t>kërcënimeve financim terrorizmi;</w:t>
      </w:r>
    </w:p>
    <w:p w:rsidR="00B10AE8" w:rsidRPr="00B10AE8" w:rsidRDefault="00B10AE8" w:rsidP="00A7369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Reagimi në kohë dhe me efikasitet n</w:t>
      </w:r>
      <w:r w:rsidR="00241098">
        <w:rPr>
          <w:rFonts w:ascii="Times New Roman" w:hAnsi="Times New Roman" w:cs="Times New Roman"/>
          <w:sz w:val="24"/>
          <w:szCs w:val="24"/>
          <w:lang w:val="sq-AL"/>
        </w:rPr>
        <w:t>d</w:t>
      </w:r>
      <w:r>
        <w:rPr>
          <w:rFonts w:ascii="Times New Roman" w:hAnsi="Times New Roman" w:cs="Times New Roman"/>
          <w:sz w:val="24"/>
          <w:szCs w:val="24"/>
          <w:lang w:val="sq-AL"/>
        </w:rPr>
        <w:t>aj rreziqeve të sipërcituara.</w:t>
      </w:r>
    </w:p>
    <w:p w:rsidR="00A73694" w:rsidRDefault="00A73694" w:rsidP="00A7369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Arritja e synimeve të mësipërme realizohet nëpërmjet përafrimit të legjislacionit me rekomandimet e Grupit të Posaçëm të Veprimit Financiar (Fiancial Action Task Force – FATF) i cili përcakton </w:t>
      </w:r>
      <w:r w:rsidRPr="00107E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standardet dhe të 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>nxit zbatimin efektiv të masave ligjore, rregullative dhe operacionale për luftën kundër financimit të terrorizmit.</w:t>
      </w:r>
    </w:p>
    <w:p w:rsidR="00241098" w:rsidRPr="00B10AE8" w:rsidRDefault="00241098" w:rsidP="00A73694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73694" w:rsidRDefault="00A73694" w:rsidP="00A7369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VLERËSIMI I PROJEKTAKTIT NË RAPORT ME PROGRAMIN  POLITIK TË KËSHILLIT TË MINISTRAVE, ME PROGRAMIN  ANALITIK TË AKTEVE DHE DOKUMENTEVE TË TJERA POLITIKE</w:t>
      </w:r>
    </w:p>
    <w:p w:rsidR="00241098" w:rsidRPr="00B10AE8" w:rsidRDefault="00241098" w:rsidP="00241098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Ky projektligj përputhet me programin politik qeverisës 2017-2021 në angazhimet  e shprehura në kuadër të “Sigurisë kombëtare dhe kontributit për sigurinë globale” si pjesë e Pjesës së 4-t “ Politika e jashtme dhe e sigurisë, integrimi </w:t>
      </w:r>
      <w:r w:rsidR="00241098"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evropian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shqiptarët në botë”, ku parashikohet “përmirësimi dhe modernizimi i mëtejshëm i menaxhimit të  kufijve, rritja e kapaciteteve të bashkëpunimit dhe të shkëmbimit  ndërkombëtar të të dhënave dhe informacionit do të kontribuojnë në parandalimin dhe frenimin e qarkullimit ndërkufitar të krimit,  terrorizmit, financave kriminale dhe migracionit të paligjshëm”.</w:t>
      </w:r>
    </w:p>
    <w:p w:rsidR="00A73694" w:rsidRPr="00B10AE8" w:rsidRDefault="00A73694" w:rsidP="00A73694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Gjithashtu hartimi i projektligjit është miratuar si detyrë dhe përparësi më datë 04.09.2018 nga Komiteti për Bashkërendimin e Luftës Kundër Pastrimit të Parave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footnoteReference w:id="1"/>
      </w:r>
      <w:r w:rsidR="00F52A0D"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i kryesuar nga Kryeministri dhe me anëtar të gjitha organet relevante të fushës.</w:t>
      </w:r>
    </w:p>
    <w:p w:rsidR="00A73694" w:rsidRPr="00B10AE8" w:rsidRDefault="00A73694" w:rsidP="00A73694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është pjesë e programit analitik të projekt - akteve për vitin 2019.</w:t>
      </w:r>
    </w:p>
    <w:p w:rsidR="00A73694" w:rsidRPr="00B10AE8" w:rsidRDefault="00A73694" w:rsidP="00A7369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ARGUMENTIMI I PROJEKTLIGJIT LIDHUR ME PËRPARËSITË,  PROBLEMATIKAT, EFEKTET E PRITSHME</w:t>
      </w:r>
    </w:p>
    <w:p w:rsidR="00A73694" w:rsidRPr="00B10AE8" w:rsidRDefault="00A73694" w:rsidP="00A73694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Sistemi shqiptar i parandalimit të financimit të terrorizmit i është nënshtruar vlerësimit në kuadër të 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Raundit të </w:t>
      </w:r>
      <w:r w:rsidRPr="00107EA4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107EA4">
        <w:rPr>
          <w:rFonts w:ascii="Times New Roman" w:hAnsi="Times New Roman" w:cs="Times New Roman"/>
          <w:sz w:val="24"/>
          <w:szCs w:val="24"/>
          <w:vertAlign w:val="superscript"/>
          <w:lang w:val="sq-AL"/>
        </w:rPr>
        <w:t>të</w:t>
      </w:r>
      <w:r w:rsidRPr="00107EA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4352F" w:rsidRPr="00107EA4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34352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>Vlerësimit për Shqipërinë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kryer nga Komiteti MONEYVAL i Këshillit të Evropës</w:t>
      </w:r>
      <w:r w:rsidRPr="00B10AE8">
        <w:rPr>
          <w:rStyle w:val="FootnoteReference"/>
          <w:rFonts w:ascii="Times New Roman" w:eastAsia="Times New Roman" w:hAnsi="Times New Roman" w:cs="Times New Roman"/>
          <w:sz w:val="24"/>
          <w:szCs w:val="24"/>
          <w:lang w:val="sq-AL"/>
        </w:rPr>
        <w:footnoteReference w:id="2"/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, që është organi rajonal që vlerëson për vendin tonë përputhshmërinë me rekomandimet e FATF.  Ky vlerësim ka identifikuar nevojat dhe ka bërë rekomandimet përkatëse në funksion të përputhshmërisë teknike me</w:t>
      </w:r>
      <w:r w:rsidR="002C0CE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secilin prej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Rekomandim</w:t>
      </w:r>
      <w:r w:rsidR="002C0CE9">
        <w:rPr>
          <w:rFonts w:ascii="Times New Roman" w:eastAsia="Times New Roman" w:hAnsi="Times New Roman" w:cs="Times New Roman"/>
          <w:sz w:val="24"/>
          <w:szCs w:val="24"/>
          <w:lang w:val="sq-AL"/>
        </w:rPr>
        <w:t>eve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9391C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FATF-së</w:t>
      </w:r>
      <w:r w:rsidR="00BE79DC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A73694" w:rsidRPr="00767980" w:rsidRDefault="00A73694" w:rsidP="00A73694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A73694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Me </w:t>
      </w:r>
      <w:r w:rsidR="004F375C"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k</w:t>
      </w:r>
      <w:r w:rsidR="004F375C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F375C"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projektligj synohet përmbushj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detyrimeve që rrjedhin nga Rekomandimi 6 i FATF 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kriteret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përkatëse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këtij rekomandimi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cili në tërësi është vlerësuar si pjesërisht i </w:t>
      </w:r>
      <w:r w:rsidR="003343EF">
        <w:rPr>
          <w:rFonts w:ascii="Times New Roman" w:eastAsia="Times New Roman" w:hAnsi="Times New Roman" w:cs="Times New Roman"/>
          <w:sz w:val="24"/>
          <w:szCs w:val="24"/>
          <w:lang w:val="sq-AL"/>
        </w:rPr>
        <w:t>përmbushur</w:t>
      </w:r>
      <w:r w:rsidR="0086217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Vlen të evidentohet rëndësia e posaçme  e përmbushjes së detyrimeve që rrjedhin nga Rekomandimi 6 pasi është në grupin e atyre që konsiderohen kyçe në sistem parandalues dhe goditës ndaj terrorizmit dhe financimit të tij. </w:t>
      </w:r>
    </w:p>
    <w:p w:rsidR="002C0CE9" w:rsidRPr="00767980" w:rsidRDefault="002C0CE9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pasqyrim të gjetjeve të </w:t>
      </w:r>
      <w:r w:rsidR="0009391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raportit për pjesën takuese 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në funksion të rritjes së efektivitetit dhe përputhshmërisë teknike të sistemit </w:t>
      </w:r>
      <w:r w:rsidR="0009391C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="003654B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parandalim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09391C">
        <w:rPr>
          <w:rFonts w:ascii="Times New Roman" w:eastAsia="Times New Roman" w:hAnsi="Times New Roman" w:cs="Times New Roman"/>
          <w:sz w:val="24"/>
          <w:szCs w:val="24"/>
          <w:lang w:val="sq-AL"/>
        </w:rPr>
        <w:t>të financimit të terrorizmit dhe zbatim në kohë dhe me efektivitet të masave të kërkuara nga Këshilli i Sigurimit të OKB,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përpiluar dhe amendamentet që përmban ky projektligj.</w:t>
      </w:r>
    </w:p>
    <w:p w:rsidR="00A73694" w:rsidRPr="00B10AE8" w:rsidRDefault="00A73694" w:rsidP="00A73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3654B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VLERËSIMI I LIGJSHMËRISË, KUSHTETUTSHMËRISË DHE  HARMONIZIMI ME LEGJISLACIONIN  NË FUQI, VENDAS E  NDËRKOMBËTAR</w:t>
      </w:r>
    </w:p>
    <w:p w:rsidR="00A73694" w:rsidRPr="00B10AE8" w:rsidRDefault="00A73694" w:rsidP="00A73694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që propozohet për miratim do të ketë vendin e tij në rendin juridik shqiptar, i cili përcaktohet nga shkronja “c”, pika 1, neni 116, i Kushtetutës së Republikës së Shqipërisë. Baza ligjore për propozimin e këtij projektligji, sipas hierarkisë ligjore, është përmbledhur në nenin 78, të Kushtetutës së Republikës së Shqipërisë, nenin 26, të ligjit nr. 9000, datë 30. 1.2003, “Për organizimin dhe funksioni</w:t>
      </w:r>
      <w:r w:rsidR="002045E6">
        <w:rPr>
          <w:rFonts w:ascii="Times New Roman" w:eastAsia="Times New Roman" w:hAnsi="Times New Roman" w:cs="Times New Roman"/>
          <w:sz w:val="24"/>
          <w:szCs w:val="24"/>
          <w:lang w:val="sq-AL"/>
        </w:rPr>
        <w:t>min e Këshillit të Ministrave”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pikën 3, të Rregullores së Këshillit të Ministrave, miratuar me vendimin nr.584, datë 28.8.2003, të ndryshuar. </w:t>
      </w: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Zbatimi i Rekomandimeve të FATF, të cilat përveçse janë botërisht të pranuara dhe ka mekanizma ndëshkimi për mos ndjekje, për vendin tonë është detyrim që rrjedh nga neni 13 i Konventës së KiE, ratifikuar nga Republika e Shqipërisë me ligjin nr.9646  datë 27.11.2006 “</w:t>
      </w:r>
      <w:r w:rsidRPr="00B10AE8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Për ratifikimin e Konventës së Këshillit të Evropës “Për pastrimin, kërkimin, kapjen dhe konfiskimin e produkteve të  krimit dhe për financimin e terrorizmit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”.</w:t>
      </w:r>
    </w:p>
    <w:p w:rsidR="00A73694" w:rsidRPr="00B10AE8" w:rsidRDefault="00A73694" w:rsidP="00A73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Default="00A73694" w:rsidP="00A7369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VLERËSIMI I SHKALLËS SË PËRAFRIMIT ME ACQUIS TË BE- SË (PËR PROJEKTAKTET NORMATIVE)</w:t>
      </w:r>
    </w:p>
    <w:p w:rsidR="00B405AC" w:rsidRPr="00B10AE8" w:rsidRDefault="00B405AC" w:rsidP="00B405AC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61333D" w:rsidRDefault="00A73694" w:rsidP="0061333D">
      <w:pPr>
        <w:spacing w:after="0" w:line="276" w:lineRule="auto"/>
        <w:ind w:firstLine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Aktet e BE-së që rregullojnë </w:t>
      </w:r>
      <w:r w:rsidRPr="00107EA4"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>fushë</w:t>
      </w:r>
      <w:r w:rsidR="00B405AC" w:rsidRPr="00107EA4">
        <w:rPr>
          <w:rStyle w:val="fontstyle01"/>
          <w:rFonts w:ascii="Times New Roman" w:hAnsi="Times New Roman" w:cs="Times New Roman"/>
          <w:b w:val="0"/>
          <w:color w:val="000000" w:themeColor="text1"/>
          <w:sz w:val="24"/>
          <w:szCs w:val="24"/>
          <w:lang w:val="sq-AL"/>
        </w:rPr>
        <w:t xml:space="preserve">n e zbatimit </w:t>
      </w:r>
      <w:r w:rsid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t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Ligjit</w:t>
      </w:r>
      <w:r w:rsidR="00B405AC"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nr. 157/2013 “për masat kundër financimit të terrorizmit”</w:t>
      </w:r>
      <w:r w:rsidR="00B405AC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</w:t>
      </w: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janë:</w:t>
      </w:r>
    </w:p>
    <w:p w:rsidR="0061333D" w:rsidRPr="0061333D" w:rsidRDefault="00241098" w:rsidP="0061333D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Rregullorja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e K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shillit 2580/2001</w:t>
      </w:r>
    </w:p>
    <w:p w:rsidR="0061333D" w:rsidRPr="0061333D" w:rsidRDefault="00241098" w:rsidP="0061333D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Q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ndrimi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i P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rbashk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t 2001/931/CFSP </w:t>
      </w:r>
    </w:p>
    <w:p w:rsidR="0061333D" w:rsidRDefault="00241098" w:rsidP="0061333D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Rregullorja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Komunitetit</w:t>
      </w:r>
      <w:r w:rsid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Evropian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881/2002</w:t>
      </w:r>
    </w:p>
    <w:p w:rsidR="00B405AC" w:rsidRPr="0061333D" w:rsidRDefault="00241098" w:rsidP="00B405AC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Rregullorja</w:t>
      </w:r>
      <w:r w:rsidR="00B405AC"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</w:t>
      </w:r>
      <w:r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Komuniteti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t</w:t>
      </w:r>
      <w:r w:rsidR="00B405AC"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Evropian</w:t>
      </w:r>
      <w:r w:rsidR="00B405AC" w:rsidRPr="00B405AC">
        <w:t xml:space="preserve"> </w:t>
      </w:r>
      <w:r w:rsidR="00B405AC" w:rsidRPr="00B405AC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753/2011</w:t>
      </w:r>
    </w:p>
    <w:p w:rsidR="0061333D" w:rsidRPr="0061333D" w:rsidRDefault="00241098" w:rsidP="0061333D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Style w:val="fontstyle01"/>
          <w:rFonts w:ascii="Times New Roman" w:hAnsi="Times New Roman"/>
          <w:b w:val="0"/>
          <w:bCs w:val="0"/>
          <w:sz w:val="24"/>
          <w:szCs w:val="24"/>
          <w:lang w:val="sq-AL"/>
        </w:rPr>
      </w:pPr>
      <w:r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Rregullorja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K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="0061333D" w:rsidRP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shillit (BE) 2016/1686,</w:t>
      </w:r>
    </w:p>
    <w:p w:rsidR="00A73694" w:rsidRDefault="00A73694" w:rsidP="00A73694">
      <w:pPr>
        <w:spacing w:after="0" w:line="276" w:lineRule="auto"/>
        <w:ind w:firstLine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</w:p>
    <w:p w:rsidR="00A73694" w:rsidRPr="00B10AE8" w:rsidRDefault="00A73694" w:rsidP="00D30545">
      <w:pPr>
        <w:spacing w:after="0" w:line="276" w:lineRule="auto"/>
        <w:ind w:firstLine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  <w:r w:rsidRPr="00B10AE8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Qëllimi i këtij projektligji është përmbushja e detyrave të dala nga vlerësimi i Komitetit MONEYVAL, pra përafrimi me rekomandim</w:t>
      </w:r>
      <w:r w:rsid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in 6 t</w:t>
      </w:r>
      <w:r w:rsidR="00AC6B4A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ë</w:t>
      </w:r>
      <w:r w:rsidRPr="00B10AE8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 xml:space="preserve"> FATF dhe jo përafrimi në mënyrë të drejtpërdrejtë me </w:t>
      </w:r>
      <w:r w:rsidR="0061333D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normativen e BE të sipërcituar</w:t>
      </w:r>
      <w:r w:rsidRPr="00B10AE8"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  <w:t>.</w:t>
      </w:r>
    </w:p>
    <w:p w:rsidR="00A73694" w:rsidRPr="00B10AE8" w:rsidRDefault="00A73694" w:rsidP="00A73694">
      <w:pPr>
        <w:spacing w:after="0" w:line="276" w:lineRule="auto"/>
        <w:ind w:firstLine="360"/>
        <w:jc w:val="both"/>
        <w:rPr>
          <w:rStyle w:val="fontstyle01"/>
          <w:rFonts w:ascii="Times New Roman" w:hAnsi="Times New Roman" w:cs="Times New Roman"/>
          <w:b w:val="0"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PËRMBLEDHJE SHPJEGUESE E PËRMBAJTJES SË   PROJEKTLIGJIT</w:t>
      </w:r>
    </w:p>
    <w:p w:rsidR="00A73694" w:rsidRPr="00B10AE8" w:rsidRDefault="00A73694" w:rsidP="00A736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Përveç shpjegimeve të dhëna si më poshtë, një pjesë e ndryshimeve janë shoqëruar me shënim në fund të faqes, duke evidentuar kriterin përkatës të secilit rekomandim të FATF, të synuar për përafrim.</w:t>
      </w:r>
    </w:p>
    <w:p w:rsidR="00A73694" w:rsidRPr="00B10AE8" w:rsidRDefault="00A73694" w:rsidP="00A73694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2232F8" w:rsidRDefault="00CB7D29" w:rsidP="00662A1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Në nenin 3, </w:t>
      </w:r>
    </w:p>
    <w:p w:rsidR="002232F8" w:rsidRDefault="002232F8" w:rsidP="002232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pikat 1 dhe 2 shtohet shprehja “</w:t>
      </w:r>
      <w:r w:rsidRPr="002232F8">
        <w:rPr>
          <w:rFonts w:ascii="Times New Roman" w:hAnsi="Times New Roman" w:cs="Times New Roman"/>
          <w:i/>
          <w:sz w:val="24"/>
          <w:szCs w:val="24"/>
          <w:lang w:val="sq-AL"/>
        </w:rPr>
        <w:t>shërbimi financiar apo të tjera të lidhura</w:t>
      </w:r>
      <w:r>
        <w:rPr>
          <w:rFonts w:ascii="Times New Roman" w:hAnsi="Times New Roman" w:cs="Times New Roman"/>
          <w:sz w:val="24"/>
          <w:szCs w:val="24"/>
          <w:lang w:val="sq-AL"/>
        </w:rPr>
        <w:t>” p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siguruar q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masat e marra 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rast bllokimi/sekuestrimi 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përfshijnë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edhe ndalimin e dhënies s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këtyre lloj shërbimeve, 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përveç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masave q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merren mbi pasuritë 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drejtpërdrejtë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662A14" w:rsidRPr="00860B29" w:rsidRDefault="00CB7D29" w:rsidP="002232F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pika</w:t>
      </w:r>
      <w:r w:rsidRPr="00B10A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3, fjalia e parë shprehja “</w:t>
      </w:r>
      <w:r w:rsidRPr="00B10AE8">
        <w:rPr>
          <w:rFonts w:ascii="Times New Roman" w:eastAsia="Calibri" w:hAnsi="Times New Roman" w:cs="Times New Roman"/>
          <w:i/>
          <w:sz w:val="24"/>
          <w:szCs w:val="24"/>
          <w:lang w:val="sq-AL"/>
        </w:rPr>
        <w:t>janë pasuritë financiare, depozitat monetare dhe pronat</w:t>
      </w:r>
      <w:r w:rsidRPr="00B10AE8">
        <w:rPr>
          <w:rFonts w:ascii="Times New Roman" w:eastAsia="Calibri" w:hAnsi="Times New Roman" w:cs="Times New Roman"/>
          <w:sz w:val="24"/>
          <w:szCs w:val="24"/>
          <w:lang w:val="sq-AL"/>
        </w:rPr>
        <w:t>” zëvendësohet</w:t>
      </w:r>
      <w:r w:rsidRPr="00B10AE8"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3"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C52CBF" w:rsidRPr="00B10AE8">
        <w:rPr>
          <w:rFonts w:ascii="Times New Roman" w:hAnsi="Times New Roman" w:cs="Times New Roman"/>
          <w:sz w:val="24"/>
          <w:szCs w:val="24"/>
          <w:lang w:val="sq-AL"/>
        </w:rPr>
        <w:t>Me k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2CBF" w:rsidRPr="00B10AE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52CBF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ndryshim synohet </w:t>
      </w:r>
      <w:r w:rsidR="00213E01" w:rsidRPr="00B10AE8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13E01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213E01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>Fondet dhe pasuritë e tjera” t</w:t>
      </w:r>
      <w:r w:rsidR="009347E5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>ë</w:t>
      </w:r>
      <w:r w:rsidR="00213E01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p</w:t>
      </w:r>
      <w:r w:rsidR="009347E5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>ë</w:t>
      </w:r>
      <w:r w:rsidR="00213E01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>rfshij</w:t>
      </w:r>
      <w:r w:rsidR="009347E5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>ë</w:t>
      </w:r>
      <w:r w:rsidR="00213E01" w:rsidRPr="00B10AE8">
        <w:rPr>
          <w:rFonts w:ascii="Times New Roman" w:hAnsi="Times New Roman" w:cs="Times New Roman"/>
          <w:spacing w:val="-2"/>
          <w:sz w:val="24"/>
          <w:szCs w:val="24"/>
          <w:lang w:val="sq-AL"/>
        </w:rPr>
        <w:t xml:space="preserve"> shprehimisht </w:t>
      </w:r>
      <w:r w:rsidR="00213E01" w:rsidRPr="00B10AE8">
        <w:rPr>
          <w:rFonts w:ascii="Times New Roman" w:eastAsia="Calibri" w:hAnsi="Times New Roman" w:cs="Times New Roman"/>
          <w:i/>
          <w:sz w:val="24"/>
          <w:szCs w:val="24"/>
          <w:lang w:val="sq-AL"/>
        </w:rPr>
        <w:t>burimet ekonomike.</w:t>
      </w:r>
    </w:p>
    <w:p w:rsidR="00860B29" w:rsidRPr="00860B29" w:rsidRDefault="00860B29" w:rsidP="00860B29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833644" w:rsidRPr="00B10AE8" w:rsidRDefault="00662A14" w:rsidP="0083364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Në nenin 6, pika 4 pas fjalisë së parë, shtohet përmbajtje</w:t>
      </w:r>
      <w:r w:rsidR="00833644" w:rsidRPr="00B10AE8"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4"/>
      </w:r>
      <w:r w:rsidR="009A34A4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9A34A4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833644" w:rsidRPr="00B10AE8">
        <w:rPr>
          <w:rFonts w:ascii="Times New Roman" w:hAnsi="Times New Roman" w:cs="Times New Roman"/>
          <w:sz w:val="24"/>
          <w:szCs w:val="24"/>
          <w:lang w:val="sq-AL"/>
        </w:rPr>
        <w:t>e syn</w:t>
      </w:r>
      <w:r w:rsidR="009A34A4">
        <w:rPr>
          <w:rFonts w:ascii="Times New Roman" w:hAnsi="Times New Roman" w:cs="Times New Roman"/>
          <w:sz w:val="24"/>
          <w:szCs w:val="24"/>
          <w:lang w:val="sq-AL"/>
        </w:rPr>
        <w:t>im</w:t>
      </w:r>
      <w:r w:rsidR="00833644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9347E5" w:rsidRPr="00B10AE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>detyrimi për bllokim të përfshijë 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drej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>rdrejt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edhe element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tjer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fondeve apo pasurive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tjera,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zotëruar apo kontrolluar 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>nyre indirekte apo n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dispozicion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personave t</w:t>
      </w:r>
      <w:r w:rsidR="00AC6B4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6B4A" w:rsidRPr="00AC6B4A">
        <w:rPr>
          <w:rFonts w:ascii="Times New Roman" w:hAnsi="Times New Roman" w:cs="Times New Roman"/>
          <w:sz w:val="24"/>
          <w:szCs w:val="24"/>
          <w:lang w:val="sq-AL"/>
        </w:rPr>
        <w:t xml:space="preserve"> shpallur.</w:t>
      </w:r>
    </w:p>
    <w:p w:rsidR="00860B29" w:rsidRPr="009A34A4" w:rsidRDefault="00860B29" w:rsidP="00860B2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:rsidR="00E27AFC" w:rsidRPr="00E27AFC" w:rsidRDefault="00833644" w:rsidP="00E27AF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56B01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ë nenin 10, </w:t>
      </w:r>
    </w:p>
    <w:p w:rsidR="00E27AFC" w:rsidRPr="00E27AFC" w:rsidRDefault="00E27AFC" w:rsidP="00E27AF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C62D1" w:rsidRDefault="00256B01" w:rsidP="00E27AF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pika</w:t>
      </w:r>
      <w:r w:rsidR="00833644"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1 pas shprehjes “</w:t>
      </w:r>
      <w:r w:rsidR="00833644" w:rsidRPr="00E27AFC">
        <w:rPr>
          <w:rFonts w:ascii="Times New Roman" w:eastAsia="Calibri" w:hAnsi="Times New Roman" w:cs="Times New Roman"/>
          <w:i/>
          <w:sz w:val="24"/>
          <w:szCs w:val="24"/>
          <w:lang w:val="sq-AL"/>
        </w:rPr>
        <w:t>janë të detyruara të raportojnë</w:t>
      </w:r>
      <w:r w:rsidR="00833644" w:rsidRPr="00E27AF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833644" w:rsidRPr="00E27AFC">
        <w:rPr>
          <w:rFonts w:ascii="Times New Roman" w:eastAsia="Calibri" w:hAnsi="Times New Roman" w:cs="Times New Roman"/>
          <w:i/>
          <w:sz w:val="24"/>
          <w:szCs w:val="24"/>
          <w:lang w:val="sq-AL"/>
        </w:rPr>
        <w:t>menjëherë</w:t>
      </w: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” shtohet shprehje</w:t>
      </w:r>
      <w:r w:rsidR="00833644" w:rsidRPr="00B10AE8">
        <w:rPr>
          <w:rStyle w:val="FootnoteReference"/>
          <w:rFonts w:ascii="Times New Roman" w:hAnsi="Times New Roman" w:cs="Times New Roman"/>
          <w:i/>
          <w:sz w:val="24"/>
          <w:szCs w:val="24"/>
          <w:lang w:val="sq-AL"/>
        </w:rPr>
        <w:footnoteReference w:id="5"/>
      </w: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. Me k</w:t>
      </w:r>
      <w:r w:rsidR="009347E5"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9347E5"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shtes</w:t>
      </w:r>
      <w:r w:rsidR="00912BBC"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E27AF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synohet</w:t>
      </w:r>
      <w:r w:rsidR="004C7240" w:rsidRPr="00E27AFC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9347E5" w:rsidRPr="00E27A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E27AFC">
        <w:rPr>
          <w:rFonts w:ascii="Times New Roman" w:hAnsi="Times New Roman" w:cs="Times New Roman"/>
          <w:sz w:val="24"/>
          <w:szCs w:val="24"/>
          <w:lang w:val="sq-AL"/>
        </w:rPr>
        <w:t xml:space="preserve"> fondet dhe asetet e personave apo enteve të shpallura</w:t>
      </w:r>
      <w:r w:rsidR="004C7240" w:rsidRPr="00E27AFC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9347E5" w:rsidRPr="00E27AF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C7240" w:rsidRPr="00E27AFC">
        <w:rPr>
          <w:rFonts w:ascii="Times New Roman" w:hAnsi="Times New Roman" w:cs="Times New Roman"/>
          <w:sz w:val="24"/>
          <w:szCs w:val="24"/>
          <w:lang w:val="sq-AL"/>
        </w:rPr>
        <w:t xml:space="preserve"> bllokohen pa njoftim paraprak.</w:t>
      </w:r>
    </w:p>
    <w:p w:rsidR="00E27AFC" w:rsidRPr="00E27AFC" w:rsidRDefault="00E27AFC" w:rsidP="00E27AF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ndryshohet një pjes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e formulimit të pikës 2 me synim garantimin e </w:t>
      </w:r>
      <w:r w:rsidRPr="00107E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mekanizmi</w:t>
      </w:r>
      <w:r w:rsidR="00121C6A" w:rsidRPr="00107E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</w:t>
      </w:r>
      <w:r w:rsidRPr="00107E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të </w:t>
      </w:r>
      <w:r>
        <w:rPr>
          <w:rFonts w:ascii="Times New Roman" w:hAnsi="Times New Roman" w:cs="Times New Roman"/>
          <w:sz w:val="24"/>
          <w:szCs w:val="24"/>
          <w:lang w:val="sq-AL"/>
        </w:rPr>
        <w:t>bllokimit të fondeve dhe pasurive të tjera, duke e kaluar njoftimin në një autoritet të vetëm</w:t>
      </w:r>
      <w:r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6"/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60B29" w:rsidRDefault="00860B29" w:rsidP="00860B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12DE" w:rsidRPr="00E27AFC" w:rsidRDefault="004912DE" w:rsidP="004912D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Në nenin 1</w:t>
      </w:r>
      <w:r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:rsidR="004912DE" w:rsidRDefault="004912DE" w:rsidP="00860B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912DE" w:rsidRDefault="004912DE" w:rsidP="004912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Pika 1 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ndryshohet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 synim 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hAnsi="Times New Roman" w:cs="Times New Roman"/>
          <w:sz w:val="24"/>
          <w:szCs w:val="24"/>
          <w:lang w:val="sq-AL"/>
        </w:rPr>
        <w:t>akt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simi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formulimit p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p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rfshi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rj</w:t>
      </w:r>
      <w:r>
        <w:rPr>
          <w:rFonts w:ascii="Times New Roman" w:hAnsi="Times New Roman" w:cs="Times New Roman"/>
          <w:sz w:val="24"/>
          <w:szCs w:val="24"/>
          <w:lang w:val="sq-AL"/>
        </w:rPr>
        <w:t>es s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personave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dyshuar</w:t>
      </w:r>
      <w:r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7"/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11238E" w:rsidRDefault="0011238E" w:rsidP="004912D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Shtohet pika 1/1 që synon saktësim të procedurave dhe standardeve që do të ndiqen.</w:t>
      </w:r>
    </w:p>
    <w:p w:rsidR="004912DE" w:rsidRDefault="004912DE" w:rsidP="00860B2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1238E" w:rsidRPr="00E27AFC" w:rsidRDefault="0011238E" w:rsidP="001123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Në nenin 1</w:t>
      </w:r>
      <w:r>
        <w:rPr>
          <w:rFonts w:ascii="Times New Roman" w:hAnsi="Times New Roman" w:cs="Times New Roman"/>
          <w:sz w:val="24"/>
          <w:szCs w:val="24"/>
          <w:lang w:val="sq-AL"/>
        </w:rPr>
        <w:t>6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:rsidR="0011238E" w:rsidRDefault="0011238E" w:rsidP="0011238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 1 ndryshohet duke hequr diskrecionin për nxjerrjen e urdhrit nga Ministri i ngarkuar</w:t>
      </w:r>
      <w:r>
        <w:rPr>
          <w:rStyle w:val="FootnoteReference"/>
          <w:rFonts w:ascii="Times New Roman" w:hAnsi="Times New Roman" w:cs="Times New Roman"/>
          <w:sz w:val="24"/>
          <w:szCs w:val="24"/>
          <w:lang w:val="sq-AL"/>
        </w:rPr>
        <w:footnoteReference w:id="8"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1238E" w:rsidRDefault="0011238E" w:rsidP="0011238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 2 ndryshohet duke shtuar afatin e urdhrit të bllokimit me synim që të paraprihet çdo lloj problematike apo situate sipas të cilës Vendimi përkatës i Këshillit të Ministrave nuk miratohet në kohë, duke rrezikuar lirim të fondeve të bllokuara.</w:t>
      </w:r>
    </w:p>
    <w:p w:rsidR="0011238E" w:rsidRPr="00135520" w:rsidRDefault="0011238E" w:rsidP="00135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C6DD5" w:rsidRPr="00B10AE8" w:rsidRDefault="00AC62D1" w:rsidP="00AC62D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Në 18, </w:t>
      </w:r>
      <w:r w:rsidR="00135520">
        <w:rPr>
          <w:rFonts w:ascii="Times New Roman" w:hAnsi="Times New Roman" w:cs="Times New Roman"/>
          <w:sz w:val="24"/>
          <w:szCs w:val="24"/>
          <w:lang w:val="sq-AL"/>
        </w:rPr>
        <w:t>ndryshohet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0AE8">
        <w:rPr>
          <w:rFonts w:ascii="Times New Roman" w:eastAsia="Calibri" w:hAnsi="Times New Roman" w:cs="Times New Roman"/>
          <w:sz w:val="24"/>
          <w:szCs w:val="24"/>
          <w:lang w:val="sq-AL"/>
        </w:rPr>
        <w:t>pika</w:t>
      </w:r>
      <w:r w:rsidR="005D1E30" w:rsidRPr="00B10AE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4, </w:t>
      </w:r>
      <w:r w:rsidR="0011238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me synim që </w:t>
      </w:r>
      <w:r w:rsidR="000C6DD5" w:rsidRPr="00B10AE8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:rsidR="00E27AFC" w:rsidRDefault="00E27AFC" w:rsidP="000C6D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Afatet p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njoftim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35520">
        <w:rPr>
          <w:rFonts w:ascii="Times New Roman" w:hAnsi="Times New Roman" w:cs="Times New Roman"/>
          <w:sz w:val="24"/>
          <w:szCs w:val="24"/>
          <w:lang w:val="sq-AL"/>
        </w:rPr>
        <w:t>Këshillit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Sigurimit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OKB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jen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njëjta sipas kërkesave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rezolutave 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komiteteve p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se;</w:t>
      </w:r>
    </w:p>
    <w:p w:rsidR="000C6DD5" w:rsidRPr="00B10AE8" w:rsidRDefault="002A266E" w:rsidP="000C6D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C6DD5" w:rsidRPr="00B10AE8">
        <w:rPr>
          <w:rFonts w:ascii="Times New Roman" w:hAnsi="Times New Roman" w:cs="Times New Roman"/>
          <w:sz w:val="24"/>
          <w:szCs w:val="24"/>
          <w:lang w:val="sq-AL"/>
        </w:rPr>
        <w:t>ë ndiqen</w:t>
      </w:r>
      <w:r w:rsidR="005D1E30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27AFC" w:rsidRPr="00B10AE8">
        <w:rPr>
          <w:rFonts w:ascii="Times New Roman" w:hAnsi="Times New Roman" w:cs="Times New Roman"/>
          <w:sz w:val="24"/>
          <w:szCs w:val="24"/>
          <w:lang w:val="sq-AL"/>
        </w:rPr>
        <w:t>procedurat</w:t>
      </w:r>
      <w:r w:rsidR="000C6DD5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dhe formularët standarde</w:t>
      </w:r>
      <w:r w:rsidR="005D1E30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, siç janë miratuar nga Komitetet </w:t>
      </w:r>
      <w:r w:rsidR="00E27AFC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7AFC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11238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27AFC">
        <w:rPr>
          <w:rFonts w:ascii="Times New Roman" w:hAnsi="Times New Roman" w:cs="Times New Roman"/>
          <w:sz w:val="24"/>
          <w:szCs w:val="24"/>
          <w:lang w:val="sq-AL"/>
        </w:rPr>
        <w:t xml:space="preserve">se  </w:t>
      </w:r>
      <w:r w:rsidR="000C6DD5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(Komiteti I </w:t>
      </w:r>
      <w:r w:rsidR="000C6DD5" w:rsidRPr="00B10AE8">
        <w:rPr>
          <w:rStyle w:val="fontstyle21"/>
          <w:rFonts w:ascii="Times New Roman" w:hAnsi="Times New Roman" w:cs="Times New Roman"/>
          <w:sz w:val="24"/>
          <w:szCs w:val="24"/>
          <w:lang w:val="sq-AL"/>
        </w:rPr>
        <w:t xml:space="preserve">1267/1989 ose </w:t>
      </w:r>
      <w:r w:rsidR="000C6DD5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Komiteti i </w:t>
      </w:r>
      <w:r w:rsidR="000C6DD5" w:rsidRPr="00B10AE8">
        <w:rPr>
          <w:rStyle w:val="fontstyle21"/>
          <w:rFonts w:ascii="Times New Roman" w:hAnsi="Times New Roman" w:cs="Times New Roman"/>
          <w:sz w:val="24"/>
          <w:szCs w:val="24"/>
          <w:lang w:val="sq-AL"/>
        </w:rPr>
        <w:t>1988)</w:t>
      </w:r>
      <w:r w:rsidR="000C6DD5" w:rsidRPr="00B10AE8">
        <w:rPr>
          <w:rStyle w:val="FootnoteReference"/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0C6DD5" w:rsidRPr="00B10AE8">
        <w:rPr>
          <w:rStyle w:val="FootnoteReference"/>
          <w:rFonts w:ascii="Times New Roman" w:hAnsi="Times New Roman" w:cs="Times New Roman"/>
          <w:i/>
          <w:sz w:val="24"/>
          <w:szCs w:val="24"/>
          <w:lang w:val="sq-AL"/>
        </w:rPr>
        <w:footnoteReference w:id="9"/>
      </w:r>
      <w:r w:rsidR="000C6DD5" w:rsidRPr="00B10AE8">
        <w:rPr>
          <w:rFonts w:ascii="Times New Roman" w:eastAsia="Calibri" w:hAnsi="Times New Roman" w:cs="Times New Roman"/>
          <w:i/>
          <w:sz w:val="24"/>
          <w:szCs w:val="24"/>
          <w:lang w:val="sq-AL"/>
        </w:rPr>
        <w:t>;</w:t>
      </w:r>
    </w:p>
    <w:p w:rsidR="00AC62D1" w:rsidRDefault="002A266E" w:rsidP="000C6DD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Sigurimi </w:t>
      </w:r>
      <w:r w:rsidR="0013552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sa më </w:t>
      </w:r>
      <w:r w:rsidRPr="00107EA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shumë informacioni identifikues 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që të jetë e mundur, dhe </w:t>
      </w:r>
      <w:r w:rsidR="00135520" w:rsidRPr="00B10AE8">
        <w:rPr>
          <w:rFonts w:ascii="Times New Roman" w:hAnsi="Times New Roman" w:cs="Times New Roman"/>
          <w:sz w:val="24"/>
          <w:szCs w:val="24"/>
          <w:lang w:val="sq-AL"/>
        </w:rPr>
        <w:t>informacioni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të posaçëm që mbështet shpalljen, kur </w:t>
      </w:r>
      <w:r w:rsidR="0013552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kërkohet një vendi tjetër njohja e masave të nisura nën mekanizmin e bllokimit</w:t>
      </w:r>
      <w:r w:rsidR="00AC62D1" w:rsidRPr="00B10AE8">
        <w:rPr>
          <w:rStyle w:val="FootnoteReference"/>
          <w:rFonts w:ascii="Times New Roman" w:hAnsi="Times New Roman" w:cs="Times New Roman"/>
          <w:i/>
          <w:sz w:val="24"/>
          <w:szCs w:val="24"/>
          <w:lang w:val="sq-AL"/>
        </w:rPr>
        <w:footnoteReference w:id="10"/>
      </w:r>
      <w:r w:rsidR="00AB30A2" w:rsidRPr="00B10AE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60B29" w:rsidRDefault="00860B29" w:rsidP="00860B2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35520" w:rsidRPr="00E27AFC" w:rsidRDefault="00135520" w:rsidP="0013552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Në nenin </w:t>
      </w:r>
      <w:r>
        <w:rPr>
          <w:rFonts w:ascii="Times New Roman" w:hAnsi="Times New Roman" w:cs="Times New Roman"/>
          <w:sz w:val="24"/>
          <w:szCs w:val="24"/>
          <w:lang w:val="sq-AL"/>
        </w:rPr>
        <w:t>21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ndryshohen pika 2 dhe 3 duke shkruar afat</w:t>
      </w:r>
      <w:r w:rsidR="00C764AD">
        <w:rPr>
          <w:rFonts w:ascii="Times New Roman" w:hAnsi="Times New Roman" w:cs="Times New Roman"/>
          <w:sz w:val="24"/>
          <w:szCs w:val="24"/>
          <w:lang w:val="sq-AL"/>
        </w:rPr>
        <w:t>et e verifikimeve, nisur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konstatimi për veprime jo në kohë për implementim të sanksioneve, të evidentuara në Raportin e Moneyval.</w:t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35520" w:rsidRDefault="00135520" w:rsidP="00860B2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35520" w:rsidRDefault="00135520" w:rsidP="00860B2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35520" w:rsidRPr="00B10AE8" w:rsidRDefault="00135520" w:rsidP="00860B29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41098" w:rsidRDefault="009A4637" w:rsidP="009A463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r w:rsidR="007047A0"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nenin </w:t>
      </w:r>
      <w:r w:rsidR="00241098">
        <w:rPr>
          <w:rFonts w:ascii="Times New Roman" w:hAnsi="Times New Roman" w:cs="Times New Roman"/>
          <w:sz w:val="24"/>
          <w:szCs w:val="24"/>
          <w:lang w:val="sq-AL"/>
        </w:rPr>
        <w:t>25</w:t>
      </w:r>
    </w:p>
    <w:p w:rsidR="00241098" w:rsidRPr="00241098" w:rsidRDefault="009A4637" w:rsidP="0024109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pika </w:t>
      </w:r>
      <w:r w:rsidR="007047A0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1, zëven</w:t>
      </w:r>
      <w:r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d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047A0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s</w:t>
      </w:r>
      <w:r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ohet 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shprehje, nd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rsa n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pikën 4 pas germës “dh” shtohet germa “e”. </w:t>
      </w:r>
      <w:r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Ndryshimet synojn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parashikimin e </w:t>
      </w:r>
      <w:r w:rsidR="00606562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procedurave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p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r zhbllokimin e fondeve t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personave t</w:t>
      </w:r>
      <w:r w:rsidR="009347E5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ë</w:t>
      </w:r>
      <w:r w:rsidR="00606562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cenuar gabimisht</w:t>
      </w:r>
      <w:r w:rsidRPr="00B10AE8">
        <w:rPr>
          <w:rStyle w:val="FootnoteReference"/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footnoteReference w:id="11"/>
      </w:r>
      <w:r w:rsidR="007F1788" w:rsidRPr="00B10AE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.</w:t>
      </w:r>
    </w:p>
    <w:p w:rsidR="00516548" w:rsidRPr="00241098" w:rsidRDefault="00241098" w:rsidP="0024109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516548" w:rsidRPr="002410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as </w:t>
      </w:r>
      <w:r w:rsidR="00516548" w:rsidRPr="00241098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>pikës</w:t>
      </w:r>
      <w:r w:rsidR="00516548" w:rsidRPr="002410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4 shtohet pika 4/1. Ndryshimet synojn</w:t>
      </w:r>
      <w:r w:rsidR="009347E5" w:rsidRPr="00241098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516548" w:rsidRPr="0024109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vendosjen e </w:t>
      </w:r>
      <w:r w:rsidRPr="00107EA4">
        <w:rPr>
          <w:rFonts w:ascii="Times New Roman" w:hAnsi="Times New Roman" w:cs="Times New Roman"/>
          <w:sz w:val="24"/>
          <w:szCs w:val="24"/>
          <w:lang w:val="sq-AL"/>
        </w:rPr>
        <w:t>procedura</w:t>
      </w:r>
      <w:r w:rsidR="00F46CC2" w:rsidRPr="00107EA4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516548" w:rsidRPr="00107EA4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="00516548" w:rsidRPr="00241098">
        <w:rPr>
          <w:rFonts w:ascii="Times New Roman" w:hAnsi="Times New Roman" w:cs="Times New Roman"/>
          <w:sz w:val="24"/>
          <w:szCs w:val="24"/>
          <w:lang w:val="sq-AL"/>
        </w:rPr>
        <w:t xml:space="preserve"> paraqitjen pranë Komiteteve përkatës të OKB-së të kërkesave për heqje nga lista të personave apo enteve të shpallur sipas Regjimit të Sanksioneve të OKB-së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16548" w:rsidRPr="00241098">
        <w:rPr>
          <w:rFonts w:ascii="Times New Roman" w:hAnsi="Times New Roman" w:cs="Times New Roman"/>
          <w:sz w:val="24"/>
          <w:szCs w:val="24"/>
          <w:lang w:val="sq-AL"/>
        </w:rPr>
        <w:t>të cilët sipas vlerësimit të vendit nuk plotësojnë kriteret për shpallje</w:t>
      </w:r>
      <w:r w:rsidR="00516548" w:rsidRPr="00B10AE8">
        <w:rPr>
          <w:rStyle w:val="FootnoteReference"/>
          <w:rFonts w:ascii="Times New Roman" w:hAnsi="Times New Roman" w:cs="Times New Roman"/>
          <w:i/>
          <w:sz w:val="24"/>
          <w:szCs w:val="24"/>
          <w:lang w:val="sq-AL"/>
        </w:rPr>
        <w:footnoteReference w:id="12"/>
      </w:r>
      <w:r w:rsidR="00516548" w:rsidRPr="0024109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C62D1" w:rsidRPr="00B10AE8" w:rsidRDefault="00AC62D1" w:rsidP="00AC6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INSTITUCIONET DHE ORGANET QË NGARKOHEN PËR ZBATIMIN E KËTIJ PROJEKTLIGJI</w:t>
      </w:r>
    </w:p>
    <w:p w:rsidR="00241098" w:rsidRDefault="00241098" w:rsidP="002410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241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zbatimin e këtij projektligji përgjithësisht </w:t>
      </w:r>
      <w:r w:rsidRPr="00F46CC2">
        <w:rPr>
          <w:rFonts w:ascii="Times New Roman" w:eastAsia="Times New Roman" w:hAnsi="Times New Roman" w:cs="Times New Roman"/>
          <w:sz w:val="24"/>
          <w:szCs w:val="24"/>
          <w:lang w:val="sq-AL"/>
        </w:rPr>
        <w:t>ngarkohe</w:t>
      </w:r>
      <w:r w:rsidR="00F46CC2" w:rsidRPr="00F46CC2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F46CC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241098" w:rsidRPr="00F46CC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kryesisht </w:t>
      </w:r>
      <w:r w:rsidR="002410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institucionet, subjektet  dhe personat </w:t>
      </w:r>
      <w:r w:rsidR="00D703EF">
        <w:rPr>
          <w:rFonts w:ascii="Times New Roman" w:eastAsia="Times New Roman" w:hAnsi="Times New Roman" w:cs="Times New Roman"/>
          <w:sz w:val="24"/>
          <w:szCs w:val="24"/>
          <w:lang w:val="sq-AL"/>
        </w:rPr>
        <w:t>e përcaktuar</w:t>
      </w:r>
      <w:r w:rsidR="002410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nenet 7, 8, 9 dhe10 të Ligjit nr. 157/2013 “P</w:t>
      </w:r>
      <w:r w:rsidR="00241098" w:rsidRPr="002410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ër masat kundër financimit të terrorizmit” </w:t>
      </w:r>
    </w:p>
    <w:p w:rsidR="00A73694" w:rsidRPr="00B10AE8" w:rsidRDefault="00A73694" w:rsidP="00A736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DHE INSTITUCIONET QË KANË KONTRIBUAR NË HARTIMIN E PROJEKTLIGJIT. </w:t>
      </w:r>
    </w:p>
    <w:p w:rsidR="00A73694" w:rsidRPr="00B10AE8" w:rsidRDefault="00A73694" w:rsidP="00A73694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A73694" w:rsidRPr="00B10AE8" w:rsidRDefault="00A73694" w:rsidP="00A736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Projektligji është hartuar nga Drejtoria e Përgjithshme e Paran</w:t>
      </w:r>
      <w:r w:rsidR="00241098">
        <w:rPr>
          <w:rFonts w:ascii="Times New Roman" w:eastAsia="Times New Roman" w:hAnsi="Times New Roman" w:cs="Times New Roman"/>
          <w:sz w:val="24"/>
          <w:szCs w:val="24"/>
          <w:lang w:val="sq-AL"/>
        </w:rPr>
        <w:t>dalimit të Pastrimit të Parave</w:t>
      </w: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A73694" w:rsidRPr="00B10AE8" w:rsidRDefault="00A73694" w:rsidP="00A736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A73694" w:rsidRPr="00B10AE8" w:rsidRDefault="00A73694" w:rsidP="00A736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RAPORTI I VLERËSIMIT TË TË ARDHURAVE DHE SHPENZIMEVE BUXHETORE. </w:t>
      </w:r>
    </w:p>
    <w:p w:rsidR="00A73694" w:rsidRDefault="00A73694" w:rsidP="00A73694">
      <w:pPr>
        <w:pBdr>
          <w:bottom w:val="single" w:sz="12" w:space="1" w:color="auto"/>
          <w:between w:val="single" w:sz="12" w:space="1" w:color="auto"/>
        </w:pBdr>
        <w:tabs>
          <w:tab w:val="left" w:pos="5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Projektligji nuk </w:t>
      </w:r>
      <w:r w:rsidR="00241098">
        <w:rPr>
          <w:rFonts w:ascii="Times New Roman" w:eastAsia="Times New Roman" w:hAnsi="Times New Roman" w:cs="Times New Roman"/>
          <w:sz w:val="24"/>
          <w:szCs w:val="24"/>
          <w:lang w:val="sq-AL"/>
        </w:rPr>
        <w:t>parashikohet të këtë efekte shtese mbi buxhetin e institucioneve të prekura prej tij.</w:t>
      </w:r>
    </w:p>
    <w:p w:rsidR="00241098" w:rsidRPr="00B10AE8" w:rsidRDefault="00241098" w:rsidP="00A73694">
      <w:pPr>
        <w:pBdr>
          <w:bottom w:val="single" w:sz="12" w:space="1" w:color="auto"/>
          <w:between w:val="single" w:sz="12" w:space="1" w:color="auto"/>
        </w:pBdr>
        <w:tabs>
          <w:tab w:val="left" w:pos="5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41098" w:rsidRDefault="00A73694" w:rsidP="00A73694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B10AE8">
        <w:rPr>
          <w:rFonts w:ascii="Times New Roman" w:hAnsi="Times New Roman" w:cs="Times New Roman"/>
          <w:sz w:val="24"/>
          <w:szCs w:val="24"/>
          <w:lang w:val="sq-AL"/>
        </w:rPr>
        <w:tab/>
      </w:r>
    </w:p>
    <w:p w:rsidR="00A73694" w:rsidRPr="00B10AE8" w:rsidRDefault="00A73694" w:rsidP="00241098">
      <w:pPr>
        <w:ind w:left="5040" w:firstLine="72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10A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10A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KËSHILLI I MINISTRAVE </w:t>
      </w:r>
    </w:p>
    <w:p w:rsidR="00A73694" w:rsidRPr="00B10AE8" w:rsidRDefault="00A73694" w:rsidP="00A73694">
      <w:pPr>
        <w:tabs>
          <w:tab w:val="left" w:pos="3516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985FB6" w:rsidRPr="00B10AE8" w:rsidRDefault="00985FB6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85FB6" w:rsidRPr="00B1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8B" w:rsidRDefault="0052178B" w:rsidP="00A73694">
      <w:pPr>
        <w:spacing w:after="0" w:line="240" w:lineRule="auto"/>
      </w:pPr>
      <w:r>
        <w:separator/>
      </w:r>
    </w:p>
  </w:endnote>
  <w:endnote w:type="continuationSeparator" w:id="0">
    <w:p w:rsidR="0052178B" w:rsidRDefault="0052178B" w:rsidP="00A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Cambria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8B" w:rsidRDefault="0052178B" w:rsidP="00A73694">
      <w:pPr>
        <w:spacing w:after="0" w:line="240" w:lineRule="auto"/>
      </w:pPr>
      <w:r>
        <w:separator/>
      </w:r>
    </w:p>
  </w:footnote>
  <w:footnote w:type="continuationSeparator" w:id="0">
    <w:p w:rsidR="0052178B" w:rsidRDefault="0052178B" w:rsidP="00A73694">
      <w:pPr>
        <w:spacing w:after="0" w:line="240" w:lineRule="auto"/>
      </w:pPr>
      <w:r>
        <w:continuationSeparator/>
      </w:r>
    </w:p>
  </w:footnote>
  <w:footnote w:id="1">
    <w:p w:rsidR="00A73694" w:rsidRPr="00CB6850" w:rsidRDefault="00A73694" w:rsidP="00A73694">
      <w:pPr>
        <w:pStyle w:val="FootnoteText"/>
        <w:spacing w:after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B6850">
        <w:rPr>
          <w:rFonts w:ascii="Times New Roman" w:hAnsi="Times New Roman"/>
          <w:sz w:val="16"/>
          <w:szCs w:val="16"/>
        </w:rPr>
        <w:t>Funksioni dhe përbërja e Komitetit përcaktohen në neni 23 të Ligjit nr.9917 datë 19.05.2008 “Për parandalimin e pastrimit të parave dhe financimit të terrorizmit” i ndryshuar</w:t>
      </w:r>
    </w:p>
  </w:footnote>
  <w:footnote w:id="2">
    <w:p w:rsidR="00A73694" w:rsidRPr="004E74D6" w:rsidRDefault="00A73694" w:rsidP="00A73694">
      <w:pPr>
        <w:pStyle w:val="FootnoteText"/>
        <w:spacing w:after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E74D6">
        <w:rPr>
          <w:rFonts w:ascii="Times New Roman" w:hAnsi="Times New Roman"/>
          <w:sz w:val="16"/>
          <w:szCs w:val="16"/>
        </w:rPr>
        <w:t xml:space="preserve">Raporti i plotë gjendet në : </w:t>
      </w:r>
      <w:r w:rsidRPr="004E74D6">
        <w:rPr>
          <w:rFonts w:ascii="Times New Roman" w:eastAsia="Times New Roman" w:hAnsi="Times New Roman"/>
          <w:i/>
          <w:sz w:val="16"/>
          <w:szCs w:val="16"/>
        </w:rPr>
        <w:t>https://rm.coe.int/committ</w:t>
      </w:r>
      <w:r w:rsidR="00241098">
        <w:rPr>
          <w:rFonts w:ascii="Times New Roman" w:eastAsia="Times New Roman" w:hAnsi="Times New Roman"/>
          <w:i/>
          <w:sz w:val="16"/>
          <w:szCs w:val="16"/>
        </w:rPr>
        <w:t>ee</w:t>
      </w:r>
      <w:r w:rsidRPr="004E74D6">
        <w:rPr>
          <w:rFonts w:ascii="Times New Roman" w:eastAsia="Times New Roman" w:hAnsi="Times New Roman"/>
          <w:i/>
          <w:sz w:val="16"/>
          <w:szCs w:val="16"/>
        </w:rPr>
        <w:t>-of-experts-on-the-evaluation-of-anti-money-laundering-measur/16808ff138</w:t>
      </w:r>
    </w:p>
  </w:footnote>
  <w:footnote w:id="3">
    <w:p w:rsidR="00CB7D29" w:rsidRPr="00606562" w:rsidRDefault="00CB7D29" w:rsidP="00CB7D29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6.5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606562">
        <w:rPr>
          <w:rFonts w:ascii="Times New Roman" w:hAnsi="Times New Roman"/>
          <w:sz w:val="16"/>
          <w:szCs w:val="16"/>
        </w:rPr>
        <w:t xml:space="preserve"> “b” </w:t>
      </w:r>
      <w:r w:rsidR="009A34A4" w:rsidRPr="00606562">
        <w:rPr>
          <w:rFonts w:ascii="Times New Roman" w:hAnsi="Times New Roman"/>
          <w:sz w:val="16"/>
          <w:szCs w:val="16"/>
        </w:rPr>
        <w:t>e Rekomandimit 6 t</w:t>
      </w:r>
      <w:r w:rsidR="00AC6B4A" w:rsidRPr="00606562">
        <w:rPr>
          <w:rFonts w:ascii="Times New Roman" w:hAnsi="Times New Roman"/>
          <w:sz w:val="16"/>
          <w:szCs w:val="16"/>
        </w:rPr>
        <w:t>ë</w:t>
      </w:r>
      <w:r w:rsidR="009A34A4" w:rsidRPr="00606562">
        <w:rPr>
          <w:rFonts w:ascii="Times New Roman" w:hAnsi="Times New Roman"/>
          <w:sz w:val="16"/>
          <w:szCs w:val="16"/>
        </w:rPr>
        <w:t xml:space="preserve"> FATF.</w:t>
      </w:r>
    </w:p>
  </w:footnote>
  <w:footnote w:id="4">
    <w:p w:rsidR="00833644" w:rsidRPr="00657F51" w:rsidRDefault="00833644" w:rsidP="00833644">
      <w:pPr>
        <w:pStyle w:val="FootnoteText"/>
        <w:spacing w:after="0" w:line="240" w:lineRule="auto"/>
        <w:rPr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6.5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606562">
        <w:rPr>
          <w:rFonts w:ascii="Times New Roman" w:hAnsi="Times New Roman"/>
          <w:sz w:val="16"/>
          <w:szCs w:val="16"/>
        </w:rPr>
        <w:t xml:space="preserve"> “b” </w:t>
      </w:r>
      <w:r w:rsidR="009A34A4" w:rsidRPr="00606562">
        <w:rPr>
          <w:rFonts w:ascii="Times New Roman" w:hAnsi="Times New Roman"/>
          <w:sz w:val="16"/>
          <w:szCs w:val="16"/>
        </w:rPr>
        <w:t>e Rekomandimit 6 t</w:t>
      </w:r>
      <w:r w:rsidR="00AC6B4A" w:rsidRPr="00606562">
        <w:rPr>
          <w:rFonts w:ascii="Times New Roman" w:hAnsi="Times New Roman"/>
          <w:sz w:val="16"/>
          <w:szCs w:val="16"/>
        </w:rPr>
        <w:t>ë</w:t>
      </w:r>
      <w:r w:rsidR="009A34A4" w:rsidRPr="00606562">
        <w:rPr>
          <w:rFonts w:ascii="Times New Roman" w:hAnsi="Times New Roman"/>
          <w:sz w:val="16"/>
          <w:szCs w:val="16"/>
        </w:rPr>
        <w:t xml:space="preserve"> FATF</w:t>
      </w:r>
    </w:p>
  </w:footnote>
  <w:footnote w:id="5">
    <w:p w:rsidR="00833644" w:rsidRPr="00606562" w:rsidRDefault="00833644" w:rsidP="00833644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6.5 </w:t>
      </w:r>
      <w:r w:rsidR="00AC6B4A" w:rsidRPr="00606562">
        <w:rPr>
          <w:rFonts w:ascii="Times New Roman" w:hAnsi="Times New Roman"/>
          <w:sz w:val="16"/>
          <w:szCs w:val="16"/>
        </w:rPr>
        <w:t>e Rekomandimit 6 të FATF.</w:t>
      </w:r>
    </w:p>
  </w:footnote>
  <w:footnote w:id="6">
    <w:p w:rsidR="00E27AFC" w:rsidRPr="00606562" w:rsidRDefault="00E27AFC" w:rsidP="0011238E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6.5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606562">
        <w:rPr>
          <w:rFonts w:ascii="Times New Roman" w:hAnsi="Times New Roman"/>
          <w:sz w:val="16"/>
          <w:szCs w:val="16"/>
        </w:rPr>
        <w:t xml:space="preserve"> “a” e Rekomandimit 6 të FATF</w:t>
      </w:r>
    </w:p>
  </w:footnote>
  <w:footnote w:id="7">
    <w:p w:rsidR="004912DE" w:rsidRPr="00606562" w:rsidRDefault="004912DE" w:rsidP="0011238E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6.1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606562">
        <w:rPr>
          <w:rFonts w:ascii="Times New Roman" w:hAnsi="Times New Roman"/>
          <w:sz w:val="16"/>
          <w:szCs w:val="16"/>
        </w:rPr>
        <w:t xml:space="preserve"> “b e Rekomandimit 6 të FATF</w:t>
      </w:r>
    </w:p>
  </w:footnote>
  <w:footnote w:id="8">
    <w:p w:rsidR="0011238E" w:rsidRPr="00606562" w:rsidRDefault="0011238E" w:rsidP="0011238E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6.4 iRekomandimit 6 të FATF</w:t>
      </w:r>
    </w:p>
  </w:footnote>
  <w:footnote w:id="9">
    <w:p w:rsidR="000C6DD5" w:rsidRPr="00606562" w:rsidRDefault="000C6DD5" w:rsidP="000C6DD5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</w:t>
      </w:r>
      <w:r w:rsidRPr="00606562">
        <w:rPr>
          <w:rFonts w:ascii="Times New Roman" w:hAnsi="Times New Roman"/>
          <w:sz w:val="16"/>
          <w:szCs w:val="16"/>
          <w:lang w:val="en-US"/>
        </w:rPr>
        <w:t xml:space="preserve">Kriteri 6.1 </w:t>
      </w:r>
      <w:r w:rsidR="00606562">
        <w:rPr>
          <w:rFonts w:ascii="Times New Roman" w:hAnsi="Times New Roman"/>
          <w:sz w:val="16"/>
          <w:szCs w:val="16"/>
          <w:lang w:val="en-US"/>
        </w:rPr>
        <w:t>germa</w:t>
      </w:r>
      <w:r w:rsidRPr="00606562">
        <w:rPr>
          <w:rFonts w:ascii="Times New Roman" w:hAnsi="Times New Roman"/>
          <w:sz w:val="16"/>
          <w:szCs w:val="16"/>
          <w:lang w:val="en-US"/>
        </w:rPr>
        <w:t xml:space="preserve"> “d</w:t>
      </w:r>
      <w:r w:rsidR="00E27AFC" w:rsidRPr="00606562">
        <w:rPr>
          <w:rFonts w:ascii="Times New Roman" w:hAnsi="Times New Roman"/>
          <w:sz w:val="16"/>
          <w:szCs w:val="16"/>
          <w:lang w:val="en-US"/>
        </w:rPr>
        <w:t>” e Rekomandimit 6 të FATF</w:t>
      </w:r>
    </w:p>
  </w:footnote>
  <w:footnote w:id="10">
    <w:p w:rsidR="00AC62D1" w:rsidRPr="002F5281" w:rsidRDefault="00AC62D1" w:rsidP="00AC62D1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606562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06562">
        <w:rPr>
          <w:rFonts w:ascii="Times New Roman" w:hAnsi="Times New Roman"/>
          <w:sz w:val="16"/>
          <w:szCs w:val="16"/>
        </w:rPr>
        <w:t xml:space="preserve"> Kriteri 6.2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606562">
        <w:rPr>
          <w:rFonts w:ascii="Times New Roman" w:hAnsi="Times New Roman"/>
          <w:sz w:val="16"/>
          <w:szCs w:val="16"/>
        </w:rPr>
        <w:t xml:space="preserve"> “e” </w:t>
      </w:r>
      <w:r w:rsidR="00E27AFC" w:rsidRPr="00606562">
        <w:rPr>
          <w:rFonts w:ascii="Times New Roman" w:hAnsi="Times New Roman"/>
          <w:sz w:val="16"/>
          <w:szCs w:val="16"/>
        </w:rPr>
        <w:t>e Rekomandimit 6 të FATF</w:t>
      </w:r>
      <w:r w:rsidR="00E27AFC" w:rsidRPr="00E27AFC">
        <w:rPr>
          <w:rFonts w:ascii="Times New Roman" w:hAnsi="Times New Roman"/>
          <w:sz w:val="16"/>
          <w:szCs w:val="16"/>
        </w:rPr>
        <w:t xml:space="preserve"> </w:t>
      </w:r>
    </w:p>
  </w:footnote>
  <w:footnote w:id="11">
    <w:p w:rsidR="009A4637" w:rsidRPr="002F5281" w:rsidRDefault="009A4637" w:rsidP="009A4637">
      <w:pPr>
        <w:pStyle w:val="FootnoteText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2F528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F5281">
        <w:rPr>
          <w:rFonts w:ascii="Times New Roman" w:hAnsi="Times New Roman"/>
          <w:sz w:val="16"/>
          <w:szCs w:val="16"/>
        </w:rPr>
        <w:t xml:space="preserve"> Kriteri 6.6 </w:t>
      </w:r>
      <w:r w:rsidR="00606562">
        <w:rPr>
          <w:rFonts w:ascii="Times New Roman" w:hAnsi="Times New Roman"/>
          <w:sz w:val="16"/>
          <w:szCs w:val="16"/>
        </w:rPr>
        <w:t>germa</w:t>
      </w:r>
      <w:r w:rsidRPr="002F5281">
        <w:rPr>
          <w:rFonts w:ascii="Times New Roman" w:hAnsi="Times New Roman"/>
          <w:sz w:val="16"/>
          <w:szCs w:val="16"/>
        </w:rPr>
        <w:t xml:space="preserve"> “f”</w:t>
      </w:r>
      <w:r w:rsidR="007F1788">
        <w:rPr>
          <w:rFonts w:ascii="Times New Roman" w:hAnsi="Times New Roman"/>
          <w:sz w:val="16"/>
          <w:szCs w:val="16"/>
        </w:rPr>
        <w:t xml:space="preserve"> </w:t>
      </w:r>
      <w:r w:rsidR="00E27AFC" w:rsidRPr="00E27AFC">
        <w:rPr>
          <w:rFonts w:ascii="Times New Roman" w:hAnsi="Times New Roman"/>
          <w:sz w:val="16"/>
          <w:szCs w:val="16"/>
        </w:rPr>
        <w:t>e Rekomandimit 6 të FATF</w:t>
      </w:r>
    </w:p>
  </w:footnote>
  <w:footnote w:id="12">
    <w:p w:rsidR="00516548" w:rsidRPr="001A1E1F" w:rsidRDefault="00516548" w:rsidP="00516548">
      <w:pPr>
        <w:pStyle w:val="FootnoteText"/>
        <w:spacing w:after="0" w:line="240" w:lineRule="auto"/>
        <w:rPr>
          <w:lang w:val="en-US"/>
        </w:rPr>
      </w:pPr>
      <w:r w:rsidRPr="002F528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2F5281">
        <w:rPr>
          <w:rFonts w:ascii="Times New Roman" w:hAnsi="Times New Roman"/>
          <w:sz w:val="16"/>
          <w:szCs w:val="16"/>
        </w:rPr>
        <w:t xml:space="preserve"> </w:t>
      </w:r>
      <w:r w:rsidRPr="002F5281">
        <w:rPr>
          <w:rFonts w:ascii="Times New Roman" w:hAnsi="Times New Roman"/>
          <w:sz w:val="16"/>
          <w:szCs w:val="16"/>
          <w:lang w:val="en-US"/>
        </w:rPr>
        <w:t>Kriteri</w:t>
      </w:r>
      <w:r w:rsidR="00E27AFC">
        <w:rPr>
          <w:rFonts w:ascii="Times New Roman" w:hAnsi="Times New Roman"/>
          <w:sz w:val="16"/>
          <w:szCs w:val="16"/>
          <w:lang w:val="en-US"/>
        </w:rPr>
        <w:t xml:space="preserve"> 6.6 </w:t>
      </w:r>
      <w:r w:rsidR="00606562">
        <w:rPr>
          <w:rFonts w:ascii="Times New Roman" w:hAnsi="Times New Roman"/>
          <w:sz w:val="16"/>
          <w:szCs w:val="16"/>
          <w:lang w:val="en-US"/>
        </w:rPr>
        <w:t>germa</w:t>
      </w:r>
      <w:r w:rsidR="00E27AFC">
        <w:rPr>
          <w:rFonts w:ascii="Times New Roman" w:hAnsi="Times New Roman"/>
          <w:sz w:val="16"/>
          <w:szCs w:val="16"/>
          <w:lang w:val="en-US"/>
        </w:rPr>
        <w:t xml:space="preserve"> “a” </w:t>
      </w:r>
      <w:r w:rsidR="00E27AFC" w:rsidRPr="00E27AFC">
        <w:rPr>
          <w:rFonts w:ascii="Times New Roman" w:hAnsi="Times New Roman"/>
          <w:sz w:val="16"/>
          <w:szCs w:val="16"/>
          <w:lang w:val="en-US"/>
        </w:rPr>
        <w:t>e Rekomandimit 6 të FATF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4871"/>
    <w:multiLevelType w:val="hybridMultilevel"/>
    <w:tmpl w:val="D31EC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A71E4"/>
    <w:multiLevelType w:val="hybridMultilevel"/>
    <w:tmpl w:val="AB985164"/>
    <w:lvl w:ilvl="0" w:tplc="AB7E8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91FA3"/>
    <w:multiLevelType w:val="hybridMultilevel"/>
    <w:tmpl w:val="BE8C7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D15015"/>
    <w:multiLevelType w:val="hybridMultilevel"/>
    <w:tmpl w:val="9B905E34"/>
    <w:lvl w:ilvl="0" w:tplc="56962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46D5"/>
    <w:multiLevelType w:val="hybridMultilevel"/>
    <w:tmpl w:val="2FCE5EA8"/>
    <w:lvl w:ilvl="0" w:tplc="99B89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F13DC3"/>
    <w:multiLevelType w:val="hybridMultilevel"/>
    <w:tmpl w:val="756E95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9346E8"/>
    <w:multiLevelType w:val="hybridMultilevel"/>
    <w:tmpl w:val="9822F88A"/>
    <w:lvl w:ilvl="0" w:tplc="5790996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04D4E"/>
    <w:multiLevelType w:val="hybridMultilevel"/>
    <w:tmpl w:val="EB20B9D0"/>
    <w:lvl w:ilvl="0" w:tplc="7F541A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62F37"/>
    <w:multiLevelType w:val="hybridMultilevel"/>
    <w:tmpl w:val="22706C3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1E5E04"/>
    <w:multiLevelType w:val="hybridMultilevel"/>
    <w:tmpl w:val="01AC7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797F19"/>
    <w:multiLevelType w:val="hybridMultilevel"/>
    <w:tmpl w:val="23A8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747EA"/>
    <w:multiLevelType w:val="hybridMultilevel"/>
    <w:tmpl w:val="B114E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43031"/>
    <w:multiLevelType w:val="hybridMultilevel"/>
    <w:tmpl w:val="155E2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D14AD0"/>
    <w:multiLevelType w:val="hybridMultilevel"/>
    <w:tmpl w:val="265E4968"/>
    <w:lvl w:ilvl="0" w:tplc="201657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F75B1"/>
    <w:multiLevelType w:val="hybridMultilevel"/>
    <w:tmpl w:val="A32414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1412F"/>
    <w:multiLevelType w:val="hybridMultilevel"/>
    <w:tmpl w:val="BDBA24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6396D27"/>
    <w:multiLevelType w:val="hybridMultilevel"/>
    <w:tmpl w:val="91E22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75FE1"/>
    <w:multiLevelType w:val="hybridMultilevel"/>
    <w:tmpl w:val="EE18B9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024387"/>
    <w:multiLevelType w:val="hybridMultilevel"/>
    <w:tmpl w:val="4208A74E"/>
    <w:lvl w:ilvl="0" w:tplc="C1509C9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1"/>
  </w:num>
  <w:num w:numId="5">
    <w:abstractNumId w:val="5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D3"/>
    <w:rsid w:val="0009391C"/>
    <w:rsid w:val="000A53C7"/>
    <w:rsid w:val="000B6007"/>
    <w:rsid w:val="000C6DD5"/>
    <w:rsid w:val="00107EA4"/>
    <w:rsid w:val="0011238E"/>
    <w:rsid w:val="00121C6A"/>
    <w:rsid w:val="0012537D"/>
    <w:rsid w:val="00135520"/>
    <w:rsid w:val="00142505"/>
    <w:rsid w:val="00180AA8"/>
    <w:rsid w:val="001B32D9"/>
    <w:rsid w:val="002045E6"/>
    <w:rsid w:val="00213E01"/>
    <w:rsid w:val="002232F8"/>
    <w:rsid w:val="00241098"/>
    <w:rsid w:val="00256B01"/>
    <w:rsid w:val="002855BE"/>
    <w:rsid w:val="002A266E"/>
    <w:rsid w:val="002C0CE9"/>
    <w:rsid w:val="003343EF"/>
    <w:rsid w:val="0034352F"/>
    <w:rsid w:val="003654B0"/>
    <w:rsid w:val="004912DE"/>
    <w:rsid w:val="004C7240"/>
    <w:rsid w:val="004F375C"/>
    <w:rsid w:val="00516548"/>
    <w:rsid w:val="0052178B"/>
    <w:rsid w:val="0053590F"/>
    <w:rsid w:val="005D1E30"/>
    <w:rsid w:val="00606562"/>
    <w:rsid w:val="0061333D"/>
    <w:rsid w:val="00662A14"/>
    <w:rsid w:val="007047A0"/>
    <w:rsid w:val="00767980"/>
    <w:rsid w:val="007F1788"/>
    <w:rsid w:val="007F62C5"/>
    <w:rsid w:val="00833644"/>
    <w:rsid w:val="00860B29"/>
    <w:rsid w:val="0086217C"/>
    <w:rsid w:val="008B7E04"/>
    <w:rsid w:val="008D21D3"/>
    <w:rsid w:val="00912BBC"/>
    <w:rsid w:val="009347E5"/>
    <w:rsid w:val="00985FB6"/>
    <w:rsid w:val="009A34A4"/>
    <w:rsid w:val="009A4637"/>
    <w:rsid w:val="00A73694"/>
    <w:rsid w:val="00AB30A2"/>
    <w:rsid w:val="00AC62D1"/>
    <w:rsid w:val="00AC6B4A"/>
    <w:rsid w:val="00B10AE8"/>
    <w:rsid w:val="00B405AC"/>
    <w:rsid w:val="00BE79DC"/>
    <w:rsid w:val="00C52CBF"/>
    <w:rsid w:val="00C764AD"/>
    <w:rsid w:val="00CB7D29"/>
    <w:rsid w:val="00D30545"/>
    <w:rsid w:val="00D52EC1"/>
    <w:rsid w:val="00D703EF"/>
    <w:rsid w:val="00DD1048"/>
    <w:rsid w:val="00E04BBB"/>
    <w:rsid w:val="00E27AFC"/>
    <w:rsid w:val="00E41949"/>
    <w:rsid w:val="00F46CC2"/>
    <w:rsid w:val="00F52A0D"/>
    <w:rsid w:val="00F80EEE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C6B364-B507-4D1E-B9C9-2BD0B83C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 à moi,TOC style,lp1,Bullet OSM,Proposal Bullet List,Welt L Char,Welt L,Bullet List,FooterText,numbered,Paragraphe de liste1,列出段落,列出段落1"/>
    <w:basedOn w:val="Normal"/>
    <w:link w:val="ListParagraphChar"/>
    <w:uiPriority w:val="34"/>
    <w:qFormat/>
    <w:rsid w:val="00A73694"/>
    <w:pPr>
      <w:ind w:left="720"/>
      <w:contextualSpacing/>
    </w:pPr>
  </w:style>
  <w:style w:type="character" w:customStyle="1" w:styleId="fontstyle01">
    <w:name w:val="fontstyle01"/>
    <w:basedOn w:val="DefaultParagraphFont"/>
    <w:rsid w:val="00A73694"/>
    <w:rPr>
      <w:rFonts w:ascii="EUAlbertina-Bold" w:hAnsi="EUAlbertina-Bold" w:hint="default"/>
      <w:b/>
      <w:bCs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73694"/>
    <w:pPr>
      <w:spacing w:after="200" w:line="276" w:lineRule="auto"/>
    </w:pPr>
    <w:rPr>
      <w:rFonts w:ascii="Calibri" w:eastAsia="Calibri" w:hAnsi="Calibri" w:cs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94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 à moi Char,TOC style Char,lp1 Char,Bullet OSM Char,Proposal Bullet List Char,Welt L Char Char,Welt L Char1"/>
    <w:basedOn w:val="DefaultParagraphFont"/>
    <w:link w:val="ListParagraph"/>
    <w:uiPriority w:val="34"/>
    <w:locked/>
    <w:rsid w:val="00A73694"/>
  </w:style>
  <w:style w:type="character" w:styleId="FootnoteReference">
    <w:name w:val="footnote reference"/>
    <w:basedOn w:val="DefaultParagraphFont"/>
    <w:uiPriority w:val="99"/>
    <w:semiHidden/>
    <w:unhideWhenUsed/>
    <w:qFormat/>
    <w:rsid w:val="00A73694"/>
    <w:rPr>
      <w:vertAlign w:val="superscript"/>
    </w:rPr>
  </w:style>
  <w:style w:type="character" w:customStyle="1" w:styleId="fontstyle21">
    <w:name w:val="fontstyle21"/>
    <w:basedOn w:val="DefaultParagraphFont"/>
    <w:rsid w:val="000C6DD5"/>
    <w:rPr>
      <w:rFonts w:ascii="Cambria-Italic" w:hAnsi="Cambria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613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0527-45D1-4F2E-BFBE-D3A9E008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Mikeljan Shkalla</dc:creator>
  <cp:lastModifiedBy>Amela Kora</cp:lastModifiedBy>
  <cp:revision>2</cp:revision>
  <dcterms:created xsi:type="dcterms:W3CDTF">2019-02-11T09:14:00Z</dcterms:created>
  <dcterms:modified xsi:type="dcterms:W3CDTF">2019-02-11T09:14:00Z</dcterms:modified>
</cp:coreProperties>
</file>